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9F" w:rsidRDefault="003D109F">
      <w:pPr>
        <w:spacing w:after="0" w:line="480" w:lineRule="auto"/>
        <w:jc w:val="center"/>
        <w:rPr>
          <w:rFonts w:ascii="Times New Roman" w:eastAsia="Times New Roman" w:hAnsi="Times New Roman" w:cs="Times New Roman"/>
          <w:color w:val="000000"/>
          <w:sz w:val="28"/>
          <w:szCs w:val="28"/>
          <w:highlight w:val="yellow"/>
        </w:rPr>
      </w:pPr>
      <w:bookmarkStart w:id="0" w:name="_heading=h.gjdgxs" w:colFirst="0" w:colLast="0"/>
      <w:bookmarkStart w:id="1" w:name="_GoBack"/>
      <w:bookmarkEnd w:id="0"/>
      <w:bookmarkEnd w:id="1"/>
    </w:p>
    <w:p w:rsidR="003D109F" w:rsidRDefault="003D109F">
      <w:pPr>
        <w:spacing w:after="0" w:line="480" w:lineRule="auto"/>
        <w:rPr>
          <w:rFonts w:ascii="Times New Roman" w:eastAsia="Times New Roman" w:hAnsi="Times New Roman" w:cs="Times New Roman"/>
          <w:b/>
          <w:color w:val="000000"/>
          <w:sz w:val="28"/>
          <w:szCs w:val="28"/>
        </w:rPr>
      </w:pPr>
    </w:p>
    <w:p w:rsidR="003D109F" w:rsidRDefault="003D109F">
      <w:pPr>
        <w:spacing w:after="0" w:line="480" w:lineRule="auto"/>
        <w:rPr>
          <w:rFonts w:ascii="Times New Roman" w:eastAsia="Times New Roman" w:hAnsi="Times New Roman" w:cs="Times New Roman"/>
          <w:b/>
          <w:color w:val="000000"/>
          <w:sz w:val="28"/>
          <w:szCs w:val="28"/>
        </w:rPr>
      </w:pPr>
    </w:p>
    <w:p w:rsidR="003D109F" w:rsidRDefault="003D109F">
      <w:pPr>
        <w:spacing w:after="0" w:line="480" w:lineRule="auto"/>
        <w:rPr>
          <w:rFonts w:ascii="Times New Roman" w:eastAsia="Times New Roman" w:hAnsi="Times New Roman" w:cs="Times New Roman"/>
          <w:b/>
          <w:color w:val="000000"/>
          <w:sz w:val="28"/>
          <w:szCs w:val="28"/>
        </w:rPr>
      </w:pPr>
    </w:p>
    <w:p w:rsidR="003D109F" w:rsidRDefault="00A830B4">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Intercultural Zoomery in a Time of COVID-19</w:t>
      </w:r>
    </w:p>
    <w:p w:rsidR="003D109F" w:rsidRDefault="00A830B4">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Karenne Sylvester, Richard Fay, Susan Dawson &amp; Zhuo Min Huang</w:t>
      </w:r>
    </w:p>
    <w:p w:rsidR="003D109F" w:rsidRDefault="00A830B4">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of Manchester, United Kingdom</w:t>
      </w:r>
    </w:p>
    <w:p w:rsidR="003D109F" w:rsidRDefault="003D109F">
      <w:pPr>
        <w:spacing w:after="0" w:line="480" w:lineRule="auto"/>
        <w:jc w:val="center"/>
        <w:rPr>
          <w:rFonts w:ascii="Times New Roman" w:eastAsia="Times New Roman" w:hAnsi="Times New Roman" w:cs="Times New Roman"/>
          <w:color w:val="000000"/>
          <w:sz w:val="24"/>
          <w:szCs w:val="24"/>
        </w:rPr>
      </w:pPr>
    </w:p>
    <w:p w:rsidR="003D109F" w:rsidRDefault="003D109F">
      <w:pPr>
        <w:spacing w:after="0" w:line="480" w:lineRule="auto"/>
        <w:jc w:val="center"/>
        <w:rPr>
          <w:rFonts w:ascii="Times New Roman" w:eastAsia="Times New Roman" w:hAnsi="Times New Roman" w:cs="Times New Roman"/>
          <w:color w:val="000000"/>
          <w:sz w:val="24"/>
          <w:szCs w:val="24"/>
        </w:rPr>
      </w:pPr>
    </w:p>
    <w:p w:rsidR="003D109F" w:rsidRDefault="003D109F">
      <w:pPr>
        <w:spacing w:after="0" w:line="480" w:lineRule="auto"/>
        <w:jc w:val="center"/>
        <w:rPr>
          <w:rFonts w:ascii="Times New Roman" w:eastAsia="Times New Roman" w:hAnsi="Times New Roman" w:cs="Times New Roman"/>
          <w:color w:val="000000"/>
          <w:sz w:val="24"/>
          <w:szCs w:val="24"/>
        </w:rPr>
      </w:pPr>
    </w:p>
    <w:p w:rsidR="003D109F" w:rsidRDefault="00A830B4">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TEASER</w:t>
      </w:r>
      <w:r>
        <w:rPr>
          <w:rFonts w:ascii="Times New Roman" w:eastAsia="Times New Roman" w:hAnsi="Times New Roman" w:cs="Times New Roman"/>
          <w:color w:val="000000"/>
          <w:sz w:val="24"/>
          <w:szCs w:val="24"/>
        </w:rPr>
        <w:t>:</w:t>
      </w:r>
    </w:p>
    <w:p w:rsidR="003D109F" w:rsidRDefault="00A830B4">
      <w:pPr>
        <w:spacing w:after="0" w:line="480" w:lineRule="auto"/>
        <w:jc w:val="cente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The challenge of the COVID-19 pandemic: when academic study goes online, so too must academic acculturation support. </w:t>
      </w:r>
    </w:p>
    <w:p w:rsidR="003D109F" w:rsidRDefault="003D109F">
      <w:pPr>
        <w:spacing w:after="0" w:line="480" w:lineRule="auto"/>
        <w:rPr>
          <w:rFonts w:ascii="Times New Roman" w:eastAsia="Times New Roman" w:hAnsi="Times New Roman" w:cs="Times New Roman"/>
          <w:color w:val="000000"/>
          <w:sz w:val="24"/>
          <w:szCs w:val="24"/>
        </w:rPr>
      </w:pPr>
    </w:p>
    <w:p w:rsidR="003D109F" w:rsidRDefault="003D109F">
      <w:pPr>
        <w:spacing w:after="0" w:line="480" w:lineRule="auto"/>
        <w:jc w:val="center"/>
        <w:rPr>
          <w:rFonts w:ascii="Times New Roman" w:eastAsia="Times New Roman" w:hAnsi="Times New Roman" w:cs="Times New Roman"/>
          <w:color w:val="000000"/>
          <w:sz w:val="24"/>
          <w:szCs w:val="24"/>
        </w:rPr>
      </w:pPr>
    </w:p>
    <w:p w:rsidR="003D109F" w:rsidRDefault="003D109F">
      <w:pPr>
        <w:spacing w:after="0" w:line="480" w:lineRule="auto"/>
        <w:rPr>
          <w:rFonts w:ascii="Times New Roman" w:eastAsia="Times New Roman" w:hAnsi="Times New Roman" w:cs="Times New Roman"/>
          <w:b/>
          <w:sz w:val="24"/>
          <w:szCs w:val="24"/>
        </w:rPr>
      </w:pPr>
    </w:p>
    <w:p w:rsidR="003D109F" w:rsidRDefault="003D109F">
      <w:pPr>
        <w:spacing w:after="0" w:line="480" w:lineRule="auto"/>
        <w:rPr>
          <w:rFonts w:ascii="Times New Roman" w:eastAsia="Times New Roman" w:hAnsi="Times New Roman" w:cs="Times New Roman"/>
          <w:b/>
          <w:sz w:val="24"/>
          <w:szCs w:val="24"/>
        </w:rPr>
      </w:pPr>
    </w:p>
    <w:p w:rsidR="003D109F" w:rsidRDefault="003D109F">
      <w:pPr>
        <w:spacing w:after="0" w:line="480" w:lineRule="auto"/>
        <w:rPr>
          <w:rFonts w:ascii="Times New Roman" w:eastAsia="Times New Roman" w:hAnsi="Times New Roman" w:cs="Times New Roman"/>
          <w:b/>
          <w:sz w:val="24"/>
          <w:szCs w:val="24"/>
        </w:rPr>
      </w:pPr>
    </w:p>
    <w:p w:rsidR="003D109F" w:rsidRDefault="003D109F">
      <w:pPr>
        <w:spacing w:after="0" w:line="480" w:lineRule="auto"/>
        <w:rPr>
          <w:rFonts w:ascii="Times New Roman" w:eastAsia="Times New Roman" w:hAnsi="Times New Roman" w:cs="Times New Roman"/>
          <w:b/>
          <w:sz w:val="24"/>
          <w:szCs w:val="24"/>
        </w:rPr>
      </w:pPr>
    </w:p>
    <w:p w:rsidR="003D109F" w:rsidRDefault="00A830B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correspondence should be addressed to: Karenne Sylvester, c/o F</w:t>
      </w:r>
      <w:r>
        <w:rPr>
          <w:rFonts w:ascii="Times New Roman" w:eastAsia="Times New Roman" w:hAnsi="Times New Roman" w:cs="Times New Roman"/>
          <w:sz w:val="24"/>
          <w:szCs w:val="24"/>
        </w:rPr>
        <w:t xml:space="preserve">aculty of Humanities </w:t>
      </w:r>
      <w:r>
        <w:rPr>
          <w:rFonts w:ascii="Times New Roman" w:eastAsia="Times New Roman" w:hAnsi="Times New Roman" w:cs="Times New Roman"/>
          <w:color w:val="000000"/>
          <w:sz w:val="24"/>
          <w:szCs w:val="24"/>
        </w:rPr>
        <w:t xml:space="preserve">eLearning Team, Ellen Wilkinson Building, The University of Manchester, Oxford Road, M19 9PL, UK  </w:t>
      </w:r>
      <w:r>
        <w:rPr>
          <w:rFonts w:ascii="Times New Roman" w:eastAsia="Times New Roman" w:hAnsi="Times New Roman" w:cs="Times New Roman"/>
          <w:color w:val="000000"/>
          <w:sz w:val="24"/>
          <w:szCs w:val="24"/>
          <w:u w:val="single"/>
        </w:rPr>
        <w:t>karenne.sylvester@manchester.ac.uk</w:t>
      </w:r>
    </w:p>
    <w:p w:rsidR="003D109F" w:rsidRDefault="003D109F">
      <w:pPr>
        <w:rPr>
          <w:rFonts w:ascii="Times New Roman" w:eastAsia="Times New Roman" w:hAnsi="Times New Roman" w:cs="Times New Roman"/>
          <w:b/>
          <w:color w:val="000000"/>
          <w:sz w:val="28"/>
          <w:szCs w:val="28"/>
        </w:rPr>
      </w:pPr>
    </w:p>
    <w:p w:rsidR="003D109F" w:rsidRDefault="00A830B4">
      <w:pPr>
        <w:spacing w:after="0" w:line="480" w:lineRule="auto"/>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lastRenderedPageBreak/>
        <w:t>Intercultural Zoomery in a Time of COVID</w:t>
      </w:r>
    </w:p>
    <w:p w:rsidR="003D109F" w:rsidRDefault="00A830B4">
      <w:pPr>
        <w:spacing w:after="0"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his article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outlines our support for the changing academic acculturation needs of MA TESOL students as their programme moved online in response to the pandemic. In particular, we look at the development of an intercultural experience </w:t>
      </w:r>
      <w:r>
        <w:rPr>
          <w:rFonts w:ascii="Times New Roman" w:eastAsia="Times New Roman" w:hAnsi="Times New Roman" w:cs="Times New Roman"/>
          <w:sz w:val="24"/>
          <w:szCs w:val="24"/>
        </w:rPr>
        <w:t xml:space="preserve">in Zoom, </w:t>
      </w:r>
      <w:r>
        <w:rPr>
          <w:rFonts w:ascii="Times New Roman" w:eastAsia="Times New Roman" w:hAnsi="Times New Roman" w:cs="Times New Roman"/>
          <w:color w:val="000000"/>
          <w:sz w:val="24"/>
          <w:szCs w:val="24"/>
        </w:rPr>
        <w:t xml:space="preserve">equivalent to the onsite intercultural simulation we </w:t>
      </w:r>
      <w:r>
        <w:rPr>
          <w:rFonts w:ascii="Times New Roman" w:eastAsia="Times New Roman" w:hAnsi="Times New Roman" w:cs="Times New Roman"/>
          <w:sz w:val="24"/>
          <w:szCs w:val="24"/>
        </w:rPr>
        <w:t xml:space="preserve">had </w:t>
      </w:r>
      <w:r>
        <w:rPr>
          <w:rFonts w:ascii="Times New Roman" w:eastAsia="Times New Roman" w:hAnsi="Times New Roman" w:cs="Times New Roman"/>
          <w:color w:val="000000"/>
          <w:sz w:val="24"/>
          <w:szCs w:val="24"/>
        </w:rPr>
        <w:t>previously provided for them.</w:t>
      </w:r>
    </w:p>
    <w:p w:rsidR="003D109F" w:rsidRDefault="003D109F">
      <w:pPr>
        <w:spacing w:after="0" w:line="480" w:lineRule="auto"/>
        <w:rPr>
          <w:rFonts w:ascii="Times New Roman" w:eastAsia="Times New Roman" w:hAnsi="Times New Roman" w:cs="Times New Roman"/>
          <w:color w:val="000000"/>
          <w:sz w:val="24"/>
          <w:szCs w:val="24"/>
        </w:rPr>
      </w:pPr>
    </w:p>
    <w:p w:rsidR="003D109F" w:rsidRDefault="00A830B4">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Context</w:t>
      </w:r>
    </w:p>
    <w:p w:rsidR="003D109F" w:rsidRDefault="00A830B4">
      <w:pPr>
        <w:spacing w:after="0"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Manchester Institute of Education (at The University of Manchester, UK) welcomes several hundred new Masters-level students each year.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MA programmes they </w:t>
      </w:r>
      <w:r>
        <w:rPr>
          <w:rFonts w:ascii="Times New Roman" w:eastAsia="Times New Roman" w:hAnsi="Times New Roman" w:cs="Times New Roman"/>
          <w:sz w:val="24"/>
          <w:szCs w:val="24"/>
        </w:rPr>
        <w:t xml:space="preserve">join </w:t>
      </w:r>
      <w:r>
        <w:rPr>
          <w:rFonts w:ascii="Times New Roman" w:eastAsia="Times New Roman" w:hAnsi="Times New Roman" w:cs="Times New Roman"/>
          <w:color w:val="000000"/>
          <w:sz w:val="24"/>
          <w:szCs w:val="24"/>
        </w:rPr>
        <w:t xml:space="preserve">are unfamiliar academic cultures which they need to become </w:t>
      </w:r>
      <w:r>
        <w:rPr>
          <w:rFonts w:ascii="Times New Roman" w:eastAsia="Times New Roman" w:hAnsi="Times New Roman" w:cs="Times New Roman"/>
          <w:sz w:val="24"/>
          <w:szCs w:val="24"/>
        </w:rPr>
        <w:t>acclimated</w:t>
      </w:r>
      <w:r>
        <w:rPr>
          <w:rFonts w:ascii="Times New Roman" w:eastAsia="Times New Roman" w:hAnsi="Times New Roman" w:cs="Times New Roman"/>
          <w:color w:val="000000"/>
          <w:sz w:val="24"/>
          <w:szCs w:val="24"/>
        </w:rPr>
        <w:t xml:space="preserve"> to if their studies are to prosper. Recognising this imperative, for the last 20 or so years, we have repurposed the intercultural simulation </w:t>
      </w:r>
      <w:r>
        <w:rPr>
          <w:rFonts w:ascii="Times New Roman" w:eastAsia="Times New Roman" w:hAnsi="Times New Roman" w:cs="Times New Roman"/>
          <w:i/>
          <w:color w:val="000000"/>
          <w:sz w:val="24"/>
          <w:szCs w:val="24"/>
        </w:rPr>
        <w:t>Barnga</w:t>
      </w:r>
      <w:r>
        <w:rPr>
          <w:rFonts w:ascii="Times New Roman" w:eastAsia="Times New Roman" w:hAnsi="Times New Roman" w:cs="Times New Roman"/>
          <w:color w:val="000000"/>
          <w:sz w:val="24"/>
          <w:szCs w:val="24"/>
        </w:rPr>
        <w:t xml:space="preserve"> (Thiagarajan, 1990) to prepare students for: the process of academic acculturation; the unexpected and expected differences in ‘the rules of the academic game’; and their role as ethnographers of their own developing academic practices. In brief, the simulation involves a simple card game, played by groups who do not realise that the rules for the game vary slightly between groups. Having learned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rules, students play a tournament which increasingly involves intergroup movement. The tournament takes place without any verbal communication so that a) the rule variation remains hidden, and b) the experience of coping with rule differences is not mediated through language.</w:t>
      </w:r>
      <w:r>
        <w:rPr>
          <w:rFonts w:ascii="Times New Roman" w:eastAsia="Times New Roman" w:hAnsi="Times New Roman" w:cs="Times New Roman"/>
          <w:sz w:val="24"/>
          <w:szCs w:val="24"/>
        </w:rPr>
        <w:t xml:space="preserve"> </w:t>
      </w:r>
    </w:p>
    <w:p w:rsidR="003D109F" w:rsidRDefault="00A830B4">
      <w:pPr>
        <w:spacing w:after="0"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global pandemic has forced us to rethink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With academic participation now being mostly, if not exclusively, online, we needed to create an equivalent experience which: a) was itself online; and b) prepared students for the unfamiliar culture of online academic study with us. Further, whereas previously the students tended to be away from their home context when they experienced the unfamiliar academic culture, now most of them remain in their familiar home context. This geographical and psychological location also has a shaping influence on their experience of the unfamiliar.</w:t>
      </w:r>
    </w:p>
    <w:p w:rsidR="003D109F" w:rsidRDefault="003D109F">
      <w:pPr>
        <w:spacing w:after="0" w:line="480" w:lineRule="auto"/>
        <w:rPr>
          <w:rFonts w:ascii="Times New Roman" w:eastAsia="Times New Roman" w:hAnsi="Times New Roman" w:cs="Times New Roman"/>
          <w:color w:val="000000"/>
          <w:sz w:val="24"/>
          <w:szCs w:val="24"/>
        </w:rPr>
      </w:pPr>
    </w:p>
    <w:p w:rsidR="003D109F" w:rsidRDefault="00A830B4">
      <w:pPr>
        <w:spacing w:after="0" w:line="48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t>The project</w:t>
      </w:r>
    </w:p>
    <w:p w:rsidR="003D109F" w:rsidRDefault="00A830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outset, we had many questions: Could we build on the experiences of other educators who had developed an online version of </w:t>
      </w:r>
      <w:r>
        <w:rPr>
          <w:rFonts w:ascii="Times New Roman" w:eastAsia="Times New Roman" w:hAnsi="Times New Roman" w:cs="Times New Roman"/>
          <w:i/>
          <w:sz w:val="24"/>
          <w:szCs w:val="24"/>
        </w:rPr>
        <w:t>Barnga</w:t>
      </w:r>
      <w:r>
        <w:rPr>
          <w:rFonts w:ascii="Times New Roman" w:eastAsia="Times New Roman" w:hAnsi="Times New Roman" w:cs="Times New Roman"/>
          <w:sz w:val="24"/>
          <w:szCs w:val="24"/>
        </w:rPr>
        <w:t xml:space="preserve">? How could we recreate its unmarked use of different sets of rules? Should we retain its use of playing cards? Could we retain </w:t>
      </w:r>
      <w:r>
        <w:rPr>
          <w:rFonts w:ascii="Times New Roman" w:eastAsia="Times New Roman" w:hAnsi="Times New Roman" w:cs="Times New Roman"/>
          <w:i/>
          <w:sz w:val="24"/>
          <w:szCs w:val="24"/>
        </w:rPr>
        <w:t>Barnga</w:t>
      </w:r>
      <w:r>
        <w:rPr>
          <w:rFonts w:ascii="Times New Roman" w:eastAsia="Times New Roman" w:hAnsi="Times New Roman" w:cs="Times New Roman"/>
          <w:sz w:val="24"/>
          <w:szCs w:val="24"/>
        </w:rPr>
        <w:t>’s prohibition on verbal communication (written or spoken) once the tournament had begun? Would we be able to sustain a lengthy period of non-verbal communication necessary for the tournament online? Could we choreograph the online movement of students to mirror the changing of groups that occurs on-site? Was it possible to find an online environment with embedded affordances enabling these simulation activities? If so, could we assume that students were sufficiently familiar with working within this online environment? And finally, would we be able to recreate the simulation without creating an exhaustingly long online experience? We had many, many questions.</w:t>
      </w: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we did find some clues to work by earlier pioneers who have taken </w:t>
      </w:r>
      <w:r>
        <w:rPr>
          <w:rFonts w:ascii="Times New Roman" w:eastAsia="Times New Roman" w:hAnsi="Times New Roman" w:cs="Times New Roman"/>
          <w:i/>
          <w:sz w:val="24"/>
          <w:szCs w:val="24"/>
        </w:rPr>
        <w:t>Barnga</w:t>
      </w:r>
      <w:r>
        <w:rPr>
          <w:rFonts w:ascii="Times New Roman" w:eastAsia="Times New Roman" w:hAnsi="Times New Roman" w:cs="Times New Roman"/>
          <w:sz w:val="24"/>
          <w:szCs w:val="24"/>
        </w:rPr>
        <w:t xml:space="preserve"> online, we failed to locate a road map, or ready-made resources. As educators exploring online possibilities rather than as digital game designers, we realised that simply moving </w:t>
      </w:r>
      <w:r>
        <w:rPr>
          <w:rFonts w:ascii="Times New Roman" w:eastAsia="Times New Roman" w:hAnsi="Times New Roman" w:cs="Times New Roman"/>
          <w:i/>
          <w:sz w:val="24"/>
          <w:szCs w:val="24"/>
        </w:rPr>
        <w:t>Barnga</w:t>
      </w:r>
      <w:r>
        <w:rPr>
          <w:rFonts w:ascii="Times New Roman" w:eastAsia="Times New Roman" w:hAnsi="Times New Roman" w:cs="Times New Roman"/>
          <w:sz w:val="24"/>
          <w:szCs w:val="24"/>
        </w:rPr>
        <w:t xml:space="preserve"> online was beyond us in the time we had available.</w:t>
      </w:r>
      <w:r w:rsidR="003F5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explored other possibilities by which an equivalent experience of academic acculturation might be simulated. For example, the simulation could be built on the affordances of different online conference environments (e.g. Zoom, GoToMeetings, and Blackboard Collaborate). Thus, as students move between the environments, they could encounter different academic cultures developed within each of them. However, the communicational, logistical, and technological aspects of moving students around different environments in one session seemed insuperable. </w:t>
      </w:r>
    </w:p>
    <w:p w:rsidR="003D109F" w:rsidRDefault="00A830B4">
      <w:pPr>
        <w:spacing w:after="0" w:line="480" w:lineRule="auto"/>
        <w:ind w:firstLine="720"/>
      </w:pPr>
      <w:r>
        <w:rPr>
          <w:rFonts w:ascii="Times New Roman" w:eastAsia="Times New Roman" w:hAnsi="Times New Roman" w:cs="Times New Roman"/>
          <w:sz w:val="24"/>
          <w:szCs w:val="24"/>
        </w:rPr>
        <w:t xml:space="preserve">We considered developing alternative rule-based activities, ones that reduced the complexities of the card game tournament. Here, we realised that we could </w:t>
      </w:r>
      <w:r w:rsidR="003F5260">
        <w:rPr>
          <w:rFonts w:ascii="Times New Roman" w:eastAsia="Times New Roman" w:hAnsi="Times New Roman" w:cs="Times New Roman"/>
          <w:sz w:val="24"/>
          <w:szCs w:val="24"/>
        </w:rPr>
        <w:t>tie the rules into the actual eL</w:t>
      </w:r>
      <w:r>
        <w:rPr>
          <w:rFonts w:ascii="Times New Roman" w:eastAsia="Times New Roman" w:hAnsi="Times New Roman" w:cs="Times New Roman"/>
          <w:sz w:val="24"/>
          <w:szCs w:val="24"/>
        </w:rPr>
        <w:t xml:space="preserve">earning environment itself. </w:t>
      </w:r>
      <w:r>
        <w:rPr>
          <w:rFonts w:ascii="Times New Roman" w:eastAsia="Times New Roman" w:hAnsi="Times New Roman" w:cs="Times New Roman"/>
          <w:color w:val="000000"/>
          <w:sz w:val="24"/>
          <w:szCs w:val="24"/>
        </w:rPr>
        <w:t>We immediately glimpse</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some useful simulation-enabled possibilities of Zoom: the ability to see everyone involved in the session, with th</w:t>
      </w:r>
      <w:r>
        <w:rPr>
          <w:rFonts w:ascii="Times New Roman" w:eastAsia="Times New Roman" w:hAnsi="Times New Roman" w:cs="Times New Roman"/>
          <w:sz w:val="24"/>
          <w:szCs w:val="24"/>
        </w:rPr>
        <w:t xml:space="preserve">eir </w:t>
      </w:r>
      <w:r>
        <w:rPr>
          <w:rFonts w:ascii="Times New Roman" w:eastAsia="Times New Roman" w:hAnsi="Times New Roman" w:cs="Times New Roman"/>
          <w:color w:val="000000"/>
          <w:sz w:val="24"/>
          <w:szCs w:val="24"/>
        </w:rPr>
        <w:t xml:space="preserve">names displayed and with opportunities for renaming; the chat, share screen, and whiteboard functions; the breakout rooms with centralised announcement mechanisms; the gesture and emoji possibilities; and the mute and non-video potential. As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result, w</w:t>
      </w:r>
      <w:r>
        <w:rPr>
          <w:rFonts w:ascii="Times New Roman" w:eastAsia="Times New Roman" w:hAnsi="Times New Roman" w:cs="Times New Roman"/>
          <w:sz w:val="24"/>
          <w:szCs w:val="24"/>
        </w:rPr>
        <w:t>e developed distinctive academic cultures using these Zoom affordances. For example:</w:t>
      </w:r>
    </w:p>
    <w:p w:rsidR="003D109F" w:rsidRDefault="003D109F">
      <w:pPr>
        <w:tabs>
          <w:tab w:val="left" w:pos="567"/>
          <w:tab w:val="left" w:pos="993"/>
          <w:tab w:val="left" w:pos="2268"/>
        </w:tabs>
        <w:spacing w:after="0" w:line="240" w:lineRule="auto"/>
      </w:pPr>
    </w:p>
    <w:tbl>
      <w:tblPr>
        <w:tblStyle w:val="a3"/>
        <w:tblW w:w="90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109F">
        <w:trPr>
          <w:jc w:val="right"/>
        </w:trPr>
        <w:tc>
          <w:tcPr>
            <w:tcW w:w="9016" w:type="dxa"/>
          </w:tcPr>
          <w:p w:rsidR="003D109F" w:rsidRDefault="00A830B4">
            <w:pPr>
              <w:spacing w:before="200"/>
              <w:rPr>
                <w:rFonts w:ascii="Times New Roman" w:eastAsia="Times New Roman" w:hAnsi="Times New Roman" w:cs="Times New Roman"/>
                <w:b/>
              </w:rPr>
            </w:pPr>
            <w:r>
              <w:rPr>
                <w:rFonts w:ascii="Times New Roman" w:eastAsia="Times New Roman" w:hAnsi="Times New Roman" w:cs="Times New Roman"/>
                <w:b/>
                <w:u w:val="single"/>
              </w:rPr>
              <w:t>Rules ‘Group 1’</w:t>
            </w:r>
          </w:p>
          <w:p w:rsidR="003D109F" w:rsidRDefault="00A830B4">
            <w:pPr>
              <w:numPr>
                <w:ilvl w:val="0"/>
                <w:numId w:val="3"/>
              </w:numPr>
              <w:pBdr>
                <w:top w:val="nil"/>
                <w:left w:val="nil"/>
                <w:bottom w:val="nil"/>
                <w:right w:val="nil"/>
                <w:between w:val="nil"/>
              </w:pBdr>
              <w:spacing w:line="259" w:lineRule="auto"/>
              <w:ind w:left="316" w:hanging="31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Naming: </w:t>
            </w:r>
            <w:r>
              <w:rPr>
                <w:rFonts w:ascii="Times New Roman" w:eastAsia="Times New Roman" w:hAnsi="Times New Roman" w:cs="Times New Roman"/>
                <w:color w:val="000000"/>
              </w:rPr>
              <w:t>Appoint a ‘leader’ named ‘Professor’ // Others keep their own names</w:t>
            </w:r>
          </w:p>
          <w:p w:rsidR="003D109F" w:rsidRDefault="00A830B4">
            <w:pPr>
              <w:numPr>
                <w:ilvl w:val="0"/>
                <w:numId w:val="3"/>
              </w:numPr>
              <w:pBdr>
                <w:top w:val="nil"/>
                <w:left w:val="nil"/>
                <w:bottom w:val="nil"/>
                <w:right w:val="nil"/>
                <w:between w:val="nil"/>
              </w:pBdr>
              <w:spacing w:line="259" w:lineRule="auto"/>
              <w:ind w:left="316" w:hanging="316"/>
              <w:rPr>
                <w:rFonts w:ascii="Times New Roman" w:eastAsia="Times New Roman" w:hAnsi="Times New Roman" w:cs="Times New Roman"/>
                <w:color w:val="000000"/>
              </w:rPr>
            </w:pPr>
            <w:r>
              <w:rPr>
                <w:rFonts w:ascii="Times New Roman" w:eastAsia="Times New Roman" w:hAnsi="Times New Roman" w:cs="Times New Roman"/>
                <w:b/>
                <w:color w:val="000000"/>
              </w:rPr>
              <w:t>Chat</w:t>
            </w:r>
            <w:r>
              <w:rPr>
                <w:rFonts w:ascii="Times New Roman" w:eastAsia="Times New Roman" w:hAnsi="Times New Roman" w:cs="Times New Roman"/>
                <w:color w:val="000000"/>
              </w:rPr>
              <w:t>: ‘Professor’ can speak and use chat // Others communicate by chat only UNLESS ‘Professor’ invites them to speak. It is also the responsibility of the Professor to bring ideas communicated in chat into conversation.</w:t>
            </w:r>
          </w:p>
          <w:p w:rsidR="003D109F" w:rsidRDefault="00A830B4">
            <w:pPr>
              <w:numPr>
                <w:ilvl w:val="0"/>
                <w:numId w:val="3"/>
              </w:numPr>
              <w:pBdr>
                <w:top w:val="nil"/>
                <w:left w:val="nil"/>
                <w:bottom w:val="nil"/>
                <w:right w:val="nil"/>
                <w:between w:val="nil"/>
              </w:pBdr>
              <w:spacing w:line="259" w:lineRule="auto"/>
              <w:ind w:left="316" w:hanging="31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Mute: </w:t>
            </w:r>
            <w:r>
              <w:rPr>
                <w:rFonts w:ascii="Times New Roman" w:eastAsia="Times New Roman" w:hAnsi="Times New Roman" w:cs="Times New Roman"/>
                <w:color w:val="000000"/>
              </w:rPr>
              <w:t>All muted apart from Professor</w:t>
            </w:r>
          </w:p>
          <w:p w:rsidR="003D109F" w:rsidRDefault="00A830B4">
            <w:pPr>
              <w:numPr>
                <w:ilvl w:val="0"/>
                <w:numId w:val="3"/>
              </w:numPr>
              <w:pBdr>
                <w:top w:val="nil"/>
                <w:left w:val="nil"/>
                <w:bottom w:val="nil"/>
                <w:right w:val="nil"/>
                <w:between w:val="nil"/>
              </w:pBdr>
              <w:spacing w:line="259" w:lineRule="auto"/>
              <w:ind w:left="316" w:hanging="316"/>
              <w:rPr>
                <w:rFonts w:ascii="Times New Roman" w:eastAsia="Times New Roman" w:hAnsi="Times New Roman" w:cs="Times New Roman"/>
                <w:color w:val="000000"/>
              </w:rPr>
            </w:pPr>
            <w:r>
              <w:rPr>
                <w:rFonts w:ascii="Times New Roman" w:eastAsia="Times New Roman" w:hAnsi="Times New Roman" w:cs="Times New Roman"/>
                <w:b/>
                <w:color w:val="000000"/>
              </w:rPr>
              <w:t>Response</w:t>
            </w:r>
            <w:r>
              <w:rPr>
                <w:rFonts w:ascii="Times New Roman" w:eastAsia="Times New Roman" w:hAnsi="Times New Roman" w:cs="Times New Roman"/>
                <w:color w:val="000000"/>
              </w:rPr>
              <w:t xml:space="preserve">: Every time the Professor speaks, people ‘clap’ </w:t>
            </w:r>
            <w:r>
              <w:rPr>
                <w:rFonts w:ascii="Times New Roman" w:eastAsia="Times New Roman" w:hAnsi="Times New Roman" w:cs="Times New Roman"/>
              </w:rPr>
              <w:t>however, no</w:t>
            </w:r>
            <w:r>
              <w:rPr>
                <w:rFonts w:ascii="Times New Roman" w:eastAsia="Times New Roman" w:hAnsi="Times New Roman" w:cs="Times New Roman"/>
                <w:color w:val="000000"/>
              </w:rPr>
              <w:t xml:space="preserve"> responses can be used for anyone else.</w:t>
            </w:r>
          </w:p>
          <w:p w:rsidR="003D109F" w:rsidRDefault="00A830B4">
            <w:pPr>
              <w:numPr>
                <w:ilvl w:val="0"/>
                <w:numId w:val="3"/>
              </w:numPr>
              <w:pBdr>
                <w:top w:val="nil"/>
                <w:left w:val="nil"/>
                <w:bottom w:val="nil"/>
                <w:right w:val="nil"/>
                <w:between w:val="nil"/>
              </w:pBdr>
              <w:spacing w:after="160" w:line="259" w:lineRule="auto"/>
              <w:ind w:left="316" w:hanging="316"/>
              <w:rPr>
                <w:rFonts w:ascii="Times New Roman" w:eastAsia="Times New Roman" w:hAnsi="Times New Roman" w:cs="Times New Roman"/>
                <w:color w:val="000000"/>
              </w:rPr>
            </w:pPr>
            <w:r>
              <w:rPr>
                <w:rFonts w:ascii="Times New Roman" w:eastAsia="Times New Roman" w:hAnsi="Times New Roman" w:cs="Times New Roman"/>
                <w:b/>
                <w:color w:val="000000"/>
              </w:rPr>
              <w:t>Sanction</w:t>
            </w:r>
            <w:r>
              <w:rPr>
                <w:rFonts w:ascii="Times New Roman" w:eastAsia="Times New Roman" w:hAnsi="Times New Roman" w:cs="Times New Roman"/>
                <w:color w:val="000000"/>
              </w:rPr>
              <w:t xml:space="preserve">: Facilitator turns off the video (for 30 secs) for anyone breaking the rules </w:t>
            </w:r>
          </w:p>
        </w:tc>
      </w:tr>
    </w:tbl>
    <w:p w:rsidR="003D109F" w:rsidRDefault="003D109F">
      <w:pPr>
        <w:spacing w:after="0" w:line="480" w:lineRule="auto"/>
        <w:rPr>
          <w:rFonts w:ascii="Times New Roman" w:eastAsia="Times New Roman" w:hAnsi="Times New Roman" w:cs="Times New Roman"/>
          <w:b/>
          <w:sz w:val="24"/>
          <w:szCs w:val="24"/>
        </w:rPr>
      </w:pPr>
    </w:p>
    <w:p w:rsidR="003D109F" w:rsidRDefault="00A830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was to decide what activity the students would perform whilst enacting these different rules. There were two aspects to this. First, mindful of the frequency with which students on the MA TESOL programme form small discussion groups to explore critical incidents, we explored the option of getting them to discuss an interculturally-oriented critical incident (Wight, 1995) related to an MA-like academic context. We considered creating critical incident comic books using a storyboard creator but in the end opted for a university-focused incident from the collection by Cushner &amp; Brislin (1996). The participants undertook this whilst enacting the (Zoom-based) rules. Second, having looked at other existing intercultural simulations – primarily, but not only, </w:t>
      </w:r>
      <w:r>
        <w:rPr>
          <w:rFonts w:ascii="Times New Roman" w:eastAsia="Times New Roman" w:hAnsi="Times New Roman" w:cs="Times New Roman"/>
          <w:i/>
          <w:sz w:val="24"/>
          <w:szCs w:val="24"/>
        </w:rPr>
        <w:t>Ecotonos</w:t>
      </w:r>
      <w:r>
        <w:rPr>
          <w:rFonts w:ascii="Times New Roman" w:eastAsia="Times New Roman" w:hAnsi="Times New Roman" w:cs="Times New Roman"/>
          <w:sz w:val="24"/>
          <w:szCs w:val="24"/>
        </w:rPr>
        <w:t xml:space="preserve"> (Nipporica Associates, 1993) and </w:t>
      </w:r>
      <w:r>
        <w:rPr>
          <w:rFonts w:ascii="Times New Roman" w:eastAsia="Times New Roman" w:hAnsi="Times New Roman" w:cs="Times New Roman"/>
          <w:i/>
          <w:sz w:val="24"/>
          <w:szCs w:val="24"/>
        </w:rPr>
        <w:t>Bafa’ Bafa</w:t>
      </w:r>
      <w:r>
        <w:rPr>
          <w:rFonts w:ascii="Times New Roman" w:eastAsia="Times New Roman" w:hAnsi="Times New Roman" w:cs="Times New Roman"/>
          <w:sz w:val="24"/>
          <w:szCs w:val="24"/>
        </w:rPr>
        <w:t xml:space="preserve">’ (Shirts, 1973) – we became excited by the idea of students being ethnographers of another other Zoom-based culture, a role mirroring them (as MA participants) being ethnographers of the unfamiliar academic culture and of their own developing academic practices within this new culture. To this end, we incorporated into the simulation a focus on hypothesis-forming/-testing/-modifying as informed by participant-observation experiences from visiting the other Zoom-based culture. </w:t>
      </w:r>
    </w:p>
    <w:p w:rsidR="003D109F" w:rsidRDefault="003D109F">
      <w:pPr>
        <w:spacing w:after="0" w:line="480" w:lineRule="auto"/>
        <w:rPr>
          <w:rFonts w:ascii="Times New Roman" w:eastAsia="Times New Roman" w:hAnsi="Times New Roman" w:cs="Times New Roman"/>
          <w:sz w:val="24"/>
          <w:szCs w:val="24"/>
        </w:rPr>
      </w:pPr>
    </w:p>
    <w:p w:rsidR="003D109F" w:rsidRDefault="00A830B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Operationalising the Design</w:t>
      </w: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design was modified considerably through trials with experienced MA students in advance of running the simulation with the new students. Thus, for example, we learned that:</w:t>
      </w:r>
    </w:p>
    <w:p w:rsidR="003D109F" w:rsidRDefault="003D109F">
      <w:pPr>
        <w:spacing w:after="0" w:line="480" w:lineRule="auto"/>
        <w:rPr>
          <w:rFonts w:ascii="Times New Roman" w:eastAsia="Times New Roman" w:hAnsi="Times New Roman" w:cs="Times New Roman"/>
          <w:sz w:val="24"/>
          <w:szCs w:val="24"/>
        </w:rPr>
      </w:pP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training should be a prerequisite rather than embedded in the simulation;</w:t>
      </w: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Zoom-related rules we could realistically use in the different groups (in Breakout Rooms) mattered - for example, changing the virtual background so as to reflect a group identity was rejected, because not all computers, browsers or mobile devices work well with these backgrounds and the time spent on this process distracted from the main objective; </w:t>
      </w: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movement of students between groups needed to be both managed (and not random) and simplified (so as to minimise the burden on the Host for the session); </w:t>
      </w: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prompts needed to provide enough substance for the discussions whilst the participants were familiarising themselves with their rules;</w:t>
      </w: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critical incident and switching to hypothesis-forming/ -modifying required careful stage-managing; and</w:t>
      </w:r>
    </w:p>
    <w:p w:rsidR="003D109F" w:rsidRDefault="00A830B4">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simulation depends on the involvement of quite a number of well-briefed facilitators.</w:t>
      </w:r>
    </w:p>
    <w:p w:rsidR="003D109F" w:rsidRDefault="003D109F">
      <w:pPr>
        <w:spacing w:after="0" w:line="480" w:lineRule="auto"/>
        <w:rPr>
          <w:rFonts w:ascii="Times New Roman" w:eastAsia="Times New Roman" w:hAnsi="Times New Roman" w:cs="Times New Roman"/>
          <w:sz w:val="24"/>
          <w:szCs w:val="24"/>
        </w:rPr>
      </w:pP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involving the following stages, the simulation takes just under two hours:</w:t>
      </w:r>
    </w:p>
    <w:p w:rsidR="003D109F" w:rsidRDefault="00A830B4">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Arrival / Introduction </w:t>
      </w:r>
      <w:r>
        <w:rPr>
          <w:rFonts w:ascii="Times New Roman" w:eastAsia="Times New Roman" w:hAnsi="Times New Roman" w:cs="Times New Roman"/>
          <w:sz w:val="24"/>
          <w:szCs w:val="24"/>
        </w:rPr>
        <w:t>(Main Room)</w:t>
      </w:r>
    </w:p>
    <w:p w:rsidR="003D109F" w:rsidRDefault="00A830B4">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Forming Groups</w:t>
      </w:r>
      <w:r>
        <w:rPr>
          <w:rFonts w:ascii="Times New Roman" w:eastAsia="Times New Roman" w:hAnsi="Times New Roman" w:cs="Times New Roman"/>
          <w:sz w:val="24"/>
          <w:szCs w:val="24"/>
        </w:rPr>
        <w:t xml:space="preserve"> (Breakout Rooms)</w:t>
      </w:r>
    </w:p>
    <w:p w:rsidR="003D109F" w:rsidRDefault="00A830B4">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In-group familiarisation with rules</w:t>
      </w:r>
      <w:r>
        <w:rPr>
          <w:rFonts w:ascii="Times New Roman" w:eastAsia="Times New Roman" w:hAnsi="Times New Roman" w:cs="Times New Roman"/>
          <w:sz w:val="24"/>
          <w:szCs w:val="24"/>
        </w:rPr>
        <w:t xml:space="preserve"> (Breakout Rooms)</w:t>
      </w:r>
    </w:p>
    <w:p w:rsidR="003D109F" w:rsidRDefault="00A830B4">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Explain discussion task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ethnographic process</w:t>
      </w:r>
      <w:r>
        <w:rPr>
          <w:rFonts w:ascii="Times New Roman" w:eastAsia="Times New Roman" w:hAnsi="Times New Roman" w:cs="Times New Roman"/>
          <w:sz w:val="24"/>
          <w:szCs w:val="24"/>
        </w:rPr>
        <w:t xml:space="preserve"> (Breakout Rooms)</w:t>
      </w:r>
    </w:p>
    <w:p w:rsidR="003D109F" w:rsidRDefault="00A830B4">
      <w:pPr>
        <w:numPr>
          <w:ilvl w:val="0"/>
          <w:numId w:val="2"/>
        </w:numPr>
        <w:spacing w:after="0" w:line="480" w:lineRule="auto"/>
        <w:rPr>
          <w:sz w:val="24"/>
          <w:szCs w:val="24"/>
        </w:rPr>
      </w:pPr>
      <w:r>
        <w:rPr>
          <w:rFonts w:ascii="Times New Roman" w:eastAsia="Times New Roman" w:hAnsi="Times New Roman" w:cs="Times New Roman"/>
          <w:b/>
          <w:sz w:val="24"/>
          <w:szCs w:val="24"/>
        </w:rPr>
        <w:t>Critical incident discussion</w:t>
      </w:r>
      <w:r>
        <w:rPr>
          <w:rFonts w:ascii="Times New Roman" w:eastAsia="Times New Roman" w:hAnsi="Times New Roman" w:cs="Times New Roman"/>
          <w:sz w:val="24"/>
          <w:szCs w:val="24"/>
        </w:rPr>
        <w:t>s as accompanied by movements of participant-observers between the groups, and as interspersed with hypothesis-forming/-modifying (Breakout Rooms)</w:t>
      </w:r>
    </w:p>
    <w:p w:rsidR="003D109F" w:rsidRDefault="00A830B4">
      <w:pPr>
        <w:numPr>
          <w:ilvl w:val="0"/>
          <w:numId w:val="2"/>
        </w:numPr>
        <w:spacing w:after="0" w:line="480" w:lineRule="auto"/>
        <w:rPr>
          <w:sz w:val="24"/>
          <w:szCs w:val="24"/>
        </w:rPr>
      </w:pPr>
      <w:r>
        <w:rPr>
          <w:rFonts w:ascii="Times New Roman" w:eastAsia="Times New Roman" w:hAnsi="Times New Roman" w:cs="Times New Roman"/>
          <w:b/>
          <w:sz w:val="24"/>
          <w:szCs w:val="24"/>
        </w:rPr>
        <w:t>Split group hypothesis-sharing</w:t>
      </w:r>
      <w:r>
        <w:rPr>
          <w:rFonts w:ascii="Times New Roman" w:eastAsia="Times New Roman" w:hAnsi="Times New Roman" w:cs="Times New Roman"/>
          <w:sz w:val="24"/>
          <w:szCs w:val="24"/>
        </w:rPr>
        <w:t xml:space="preserve"> (Breakout Rooms)</w:t>
      </w:r>
    </w:p>
    <w:p w:rsidR="003D109F" w:rsidRDefault="00A830B4">
      <w:pPr>
        <w:numPr>
          <w:ilvl w:val="0"/>
          <w:numId w:val="2"/>
        </w:numPr>
        <w:spacing w:after="0" w:line="480" w:lineRule="auto"/>
        <w:rPr>
          <w:sz w:val="24"/>
          <w:szCs w:val="24"/>
        </w:rPr>
      </w:pPr>
      <w:r>
        <w:rPr>
          <w:rFonts w:ascii="Times New Roman" w:eastAsia="Times New Roman" w:hAnsi="Times New Roman" w:cs="Times New Roman"/>
          <w:b/>
          <w:sz w:val="24"/>
          <w:szCs w:val="24"/>
        </w:rPr>
        <w:t>Debriefing</w:t>
      </w:r>
      <w:r>
        <w:rPr>
          <w:rFonts w:ascii="Times New Roman" w:eastAsia="Times New Roman" w:hAnsi="Times New Roman" w:cs="Times New Roman"/>
          <w:sz w:val="24"/>
          <w:szCs w:val="24"/>
        </w:rPr>
        <w:t xml:space="preserve"> as linked to the ongoing ethnographic task as MA TESOL participants (Main Room).</w:t>
      </w:r>
    </w:p>
    <w:p w:rsidR="003D109F" w:rsidRDefault="003D109F">
      <w:pPr>
        <w:spacing w:after="0" w:line="480" w:lineRule="auto"/>
        <w:rPr>
          <w:rFonts w:ascii="Times New Roman" w:eastAsia="Times New Roman" w:hAnsi="Times New Roman" w:cs="Times New Roman"/>
          <w:sz w:val="24"/>
          <w:szCs w:val="24"/>
        </w:rPr>
      </w:pPr>
    </w:p>
    <w:p w:rsidR="003D109F" w:rsidRDefault="00A830B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Reflections and hypotheses</w:t>
      </w: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the simulation, students asynchronously posted their reflections in the discussion board. This was intentionally framed as reflection in (Zoom-based) action. These reflections then function as a resource supporting the subsequent class discussion (reflection-on-action) leading to hypothesis-forming for the MA TESOL programme (reflection-for-study-action). Here is an example of such a reflection:</w:t>
      </w:r>
    </w:p>
    <w:p w:rsidR="003D109F" w:rsidRDefault="003D109F">
      <w:pPr>
        <w:spacing w:after="0" w:line="360" w:lineRule="auto"/>
        <w:rPr>
          <w:rFonts w:ascii="Times New Roman" w:eastAsia="Times New Roman" w:hAnsi="Times New Roman" w:cs="Times New Roman"/>
          <w:sz w:val="24"/>
          <w:szCs w:val="24"/>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D109F">
        <w:tc>
          <w:tcPr>
            <w:tcW w:w="9026" w:type="dxa"/>
            <w:shd w:val="clear" w:color="auto" w:fill="auto"/>
            <w:tcMar>
              <w:top w:w="100" w:type="dxa"/>
              <w:left w:w="100" w:type="dxa"/>
              <w:bottom w:w="100" w:type="dxa"/>
              <w:right w:w="100" w:type="dxa"/>
            </w:tcMar>
          </w:tcPr>
          <w:p w:rsidR="003D109F" w:rsidRDefault="00A830B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 character] was a very good example of a non-UK student who studies in our TESOL program, and personally speaking, very like a Chinese student [like me] ... During the whole session yesterday ... I gradually got more familiar with the rules, study on zoom, group work, ‘hypothesis’ and felt more comfortable with discussing with other students and I appreciated that the session got me to rethink … my attitude towards this program ...</w:t>
            </w:r>
          </w:p>
        </w:tc>
      </w:tr>
    </w:tbl>
    <w:p w:rsidR="003D109F" w:rsidRDefault="003D109F">
      <w:pPr>
        <w:spacing w:after="0" w:line="360" w:lineRule="auto"/>
        <w:rPr>
          <w:rFonts w:ascii="Times New Roman" w:eastAsia="Times New Roman" w:hAnsi="Times New Roman" w:cs="Times New Roman"/>
          <w:sz w:val="24"/>
          <w:szCs w:val="24"/>
        </w:rPr>
      </w:pPr>
    </w:p>
    <w:p w:rsidR="003D109F" w:rsidRDefault="00A830B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the next class, students were asked to apply the hypothesis-forming methodology to their MA studies. Their initial hypothesis are illustrated by the following examples:</w:t>
      </w:r>
    </w:p>
    <w:p w:rsidR="003D109F" w:rsidRDefault="003D109F">
      <w:pPr>
        <w:spacing w:after="0" w:line="360" w:lineRule="auto"/>
        <w:rPr>
          <w:rFonts w:ascii="Times New Roman" w:eastAsia="Times New Roman" w:hAnsi="Times New Roman" w:cs="Times New Roman"/>
          <w:sz w:val="24"/>
          <w:szCs w:val="24"/>
          <w:highlight w:val="white"/>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D109F">
        <w:tc>
          <w:tcPr>
            <w:tcW w:w="9026" w:type="dxa"/>
            <w:shd w:val="clear" w:color="auto" w:fill="auto"/>
            <w:tcMar>
              <w:top w:w="100" w:type="dxa"/>
              <w:left w:w="100" w:type="dxa"/>
              <w:bottom w:w="100" w:type="dxa"/>
              <w:right w:w="100" w:type="dxa"/>
            </w:tcMar>
          </w:tcPr>
          <w:p w:rsidR="003D109F" w:rsidRDefault="00A830B4">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What types of activities typically take place in Zoom sessions?</w:t>
            </w:r>
          </w:p>
          <w:p w:rsidR="003D109F" w:rsidRDefault="00A830B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Based on what I have seen so far in zoom, I think there are activities like breakout rooms discussions, presentations, lectures, games, taking notes with white blackboard in discussions or other activities, etc.</w:t>
            </w:r>
          </w:p>
        </w:tc>
      </w:tr>
    </w:tbl>
    <w:p w:rsidR="003D109F" w:rsidRDefault="003D109F">
      <w:pPr>
        <w:spacing w:after="0" w:line="480" w:lineRule="auto"/>
        <w:rPr>
          <w:rFonts w:ascii="Times New Roman" w:eastAsia="Times New Roman" w:hAnsi="Times New Roman" w:cs="Times New Roman"/>
          <w:sz w:val="24"/>
          <w:szCs w:val="24"/>
          <w:highlight w:val="white"/>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D109F">
        <w:tc>
          <w:tcPr>
            <w:tcW w:w="9026" w:type="dxa"/>
            <w:shd w:val="clear" w:color="auto" w:fill="auto"/>
            <w:tcMar>
              <w:top w:w="100" w:type="dxa"/>
              <w:left w:w="100" w:type="dxa"/>
              <w:bottom w:w="100" w:type="dxa"/>
              <w:right w:w="100" w:type="dxa"/>
            </w:tcMar>
          </w:tcPr>
          <w:p w:rsidR="003D109F" w:rsidRDefault="00A830B4">
            <w:pPr>
              <w:spacing w:line="36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Are they any differences between tutors’ ways of working?</w:t>
            </w:r>
          </w:p>
          <w:p w:rsidR="003D109F" w:rsidRDefault="00A830B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on earlier observations, some of the tutors on the course encourage and appreciate organizing reading materials effectively from the very beginning.</w:t>
            </w:r>
          </w:p>
        </w:tc>
      </w:tr>
    </w:tbl>
    <w:p w:rsidR="003D109F" w:rsidRDefault="003D109F">
      <w:pPr>
        <w:spacing w:after="0" w:line="480" w:lineRule="auto"/>
        <w:rPr>
          <w:rFonts w:ascii="Times New Roman" w:eastAsia="Times New Roman" w:hAnsi="Times New Roman" w:cs="Times New Roman"/>
          <w:sz w:val="24"/>
          <w:szCs w:val="24"/>
          <w:highlight w:val="white"/>
        </w:rPr>
      </w:pPr>
    </w:p>
    <w:p w:rsidR="003D109F" w:rsidRDefault="00A830B4">
      <w:pPr>
        <w:spacing w:after="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Concluding remarks</w:t>
      </w: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Faced by COVID-19, we were determined to maintain our tradition of experiential intercultural learning supporting the academic acculturation needs of our MA students. The current, primarily online, study modality has certainly made things more challenging. That said, the pandemic stimulated inter-practitioner creativity. As developers, we greatly enjoyed working together on this project, and have learned as much from being involved in it as we believe our participants did through participating in it. There are wrinkles to be finessed in future outings, but we now have an online intercultural simulation for our particular context. </w:t>
      </w:r>
    </w:p>
    <w:p w:rsidR="003D109F" w:rsidRDefault="003D109F">
      <w:pPr>
        <w:spacing w:line="480" w:lineRule="auto"/>
        <w:rPr>
          <w:rFonts w:ascii="Times New Roman" w:eastAsia="Times New Roman" w:hAnsi="Times New Roman" w:cs="Times New Roman"/>
          <w:b/>
          <w:sz w:val="24"/>
          <w:szCs w:val="24"/>
        </w:rPr>
      </w:pPr>
    </w:p>
    <w:p w:rsidR="003D109F" w:rsidRDefault="00A830B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References </w:t>
      </w:r>
    </w:p>
    <w:p w:rsidR="003D109F" w:rsidRDefault="00A830B4">
      <w:pPr>
        <w:tabs>
          <w:tab w:val="left" w:pos="851"/>
        </w:tabs>
        <w:spacing w:after="0"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Cushner, K. &amp; Brislin, R.W. (1996). </w:t>
      </w:r>
      <w:r>
        <w:rPr>
          <w:rFonts w:ascii="Times New Roman" w:eastAsia="Times New Roman" w:hAnsi="Times New Roman" w:cs="Times New Roman"/>
          <w:i/>
          <w:sz w:val="24"/>
          <w:szCs w:val="24"/>
        </w:rPr>
        <w:t>Intercultural interactions: A practical guide</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edn.) London: Sage.</w:t>
      </w:r>
    </w:p>
    <w:p w:rsidR="003D109F" w:rsidRDefault="00A830B4">
      <w:pPr>
        <w:tabs>
          <w:tab w:val="left" w:pos="851"/>
        </w:tabs>
        <w:spacing w:after="0"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Nipporica Associates (1993). </w:t>
      </w:r>
      <w:r>
        <w:rPr>
          <w:rFonts w:ascii="Times New Roman" w:eastAsia="Times New Roman" w:hAnsi="Times New Roman" w:cs="Times New Roman"/>
          <w:i/>
          <w:sz w:val="24"/>
          <w:szCs w:val="24"/>
        </w:rPr>
        <w:t>Ecotonos: A multi-cultural problem-solving simulation</w:t>
      </w:r>
      <w:r>
        <w:rPr>
          <w:rFonts w:ascii="Times New Roman" w:eastAsia="Times New Roman" w:hAnsi="Times New Roman" w:cs="Times New Roman"/>
          <w:sz w:val="24"/>
          <w:szCs w:val="24"/>
        </w:rPr>
        <w:t>. Yarmouth, ME.: Intercultural Press.</w:t>
      </w:r>
    </w:p>
    <w:p w:rsidR="003D109F" w:rsidRDefault="00A830B4">
      <w:pPr>
        <w:tabs>
          <w:tab w:val="left" w:pos="851"/>
        </w:tabs>
        <w:spacing w:after="0"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Shirts, R.G. (1973). </w:t>
      </w:r>
      <w:r>
        <w:rPr>
          <w:rFonts w:ascii="Times New Roman" w:eastAsia="Times New Roman" w:hAnsi="Times New Roman" w:cs="Times New Roman"/>
          <w:i/>
          <w:sz w:val="24"/>
          <w:szCs w:val="24"/>
        </w:rPr>
        <w:t>BAFA BAFA</w:t>
      </w:r>
      <w:r>
        <w:rPr>
          <w:rFonts w:ascii="Times New Roman" w:eastAsia="Times New Roman" w:hAnsi="Times New Roman" w:cs="Times New Roman"/>
          <w:sz w:val="24"/>
          <w:szCs w:val="24"/>
        </w:rPr>
        <w:t>. La Jolla, CA.: Simile II.</w:t>
      </w:r>
    </w:p>
    <w:p w:rsidR="003D109F" w:rsidRDefault="00A830B4">
      <w:pPr>
        <w:tabs>
          <w:tab w:val="left" w:pos="851"/>
        </w:tabs>
        <w:spacing w:after="0"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Thiagarajan, S. (1990). </w:t>
      </w:r>
      <w:r>
        <w:rPr>
          <w:rFonts w:ascii="Times New Roman" w:eastAsia="Times New Roman" w:hAnsi="Times New Roman" w:cs="Times New Roman"/>
          <w:i/>
          <w:sz w:val="24"/>
          <w:szCs w:val="24"/>
        </w:rPr>
        <w:t>Barnga: A simulation game on cultural clashes</w:t>
      </w:r>
      <w:r>
        <w:rPr>
          <w:rFonts w:ascii="Times New Roman" w:eastAsia="Times New Roman" w:hAnsi="Times New Roman" w:cs="Times New Roman"/>
          <w:sz w:val="24"/>
          <w:szCs w:val="24"/>
        </w:rPr>
        <w:t>. Yarmouth, ME.: Intercultural Press.</w:t>
      </w:r>
    </w:p>
    <w:p w:rsidR="003D109F" w:rsidRDefault="00A830B4">
      <w:pPr>
        <w:tabs>
          <w:tab w:val="left" w:pos="851"/>
        </w:tabs>
        <w:spacing w:after="0" w:line="48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Wight, A. (1995). The Critical Incident as a training tool,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S.M. Fowler &amp; M.G. Mumford (eds.), </w:t>
      </w:r>
      <w:r>
        <w:rPr>
          <w:rFonts w:ascii="Times New Roman" w:eastAsia="Times New Roman" w:hAnsi="Times New Roman" w:cs="Times New Roman"/>
          <w:i/>
          <w:sz w:val="24"/>
          <w:szCs w:val="24"/>
        </w:rPr>
        <w:t>Intercultural sourcebook: Cross-cultural training methods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(Vol.1, pp. 127-139). Yarmouth, ME.: Intercultural Press.</w:t>
      </w:r>
    </w:p>
    <w:p w:rsidR="003D109F" w:rsidRDefault="003D109F">
      <w:pPr>
        <w:tabs>
          <w:tab w:val="left" w:pos="851"/>
        </w:tabs>
        <w:spacing w:after="0" w:line="480" w:lineRule="auto"/>
        <w:ind w:left="851" w:hanging="851"/>
        <w:rPr>
          <w:rFonts w:ascii="Times New Roman" w:eastAsia="Times New Roman" w:hAnsi="Times New Roman" w:cs="Times New Roman"/>
          <w:sz w:val="24"/>
          <w:szCs w:val="24"/>
        </w:rPr>
      </w:pPr>
    </w:p>
    <w:p w:rsidR="003D109F" w:rsidRDefault="00A830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authors are affiliated with The University of Manchester, UK: Karenne Sylvester is part of the Humanities eLearning Team; and Richard Fay, Susan Dawson and Zhuo Min Huang are part of the Manchester Institute of Education. They have shared interests in and experience of TESOL, intercultural learning, and online education.  </w:t>
      </w:r>
    </w:p>
    <w:sectPr w:rsidR="003D109F">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4" w:rsidRDefault="00A830B4">
      <w:pPr>
        <w:spacing w:after="0" w:line="240" w:lineRule="auto"/>
      </w:pPr>
      <w:r>
        <w:separator/>
      </w:r>
    </w:p>
  </w:endnote>
  <w:endnote w:type="continuationSeparator" w:id="0">
    <w:p w:rsidR="00A830B4" w:rsidRDefault="00A8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4" w:rsidRDefault="00A830B4">
      <w:pPr>
        <w:spacing w:after="0" w:line="240" w:lineRule="auto"/>
      </w:pPr>
      <w:r>
        <w:separator/>
      </w:r>
    </w:p>
  </w:footnote>
  <w:footnote w:type="continuationSeparator" w:id="0">
    <w:p w:rsidR="00A830B4" w:rsidRDefault="00A8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9F" w:rsidRDefault="00A830B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50418">
      <w:rPr>
        <w:noProof/>
        <w:color w:val="000000"/>
      </w:rPr>
      <w:t>1</w:t>
    </w:r>
    <w:r>
      <w:rPr>
        <w:color w:val="000000"/>
      </w:rPr>
      <w:fldChar w:fldCharType="end"/>
    </w:r>
  </w:p>
  <w:p w:rsidR="003D109F" w:rsidRDefault="00A830B4">
    <w:pPr>
      <w:pBdr>
        <w:top w:val="nil"/>
        <w:left w:val="nil"/>
        <w:bottom w:val="nil"/>
        <w:right w:val="nil"/>
        <w:between w:val="nil"/>
      </w:pBdr>
      <w:tabs>
        <w:tab w:val="center" w:pos="4513"/>
        <w:tab w:val="right" w:pos="9026"/>
      </w:tabs>
      <w:spacing w:after="0" w:line="240" w:lineRule="auto"/>
      <w:rPr>
        <w:color w:val="000000"/>
      </w:rPr>
    </w:pPr>
    <w:r>
      <w:rPr>
        <w:color w:val="000000"/>
      </w:rPr>
      <w:t>INTERCULTURAL ZOOMERY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E4"/>
    <w:multiLevelType w:val="multilevel"/>
    <w:tmpl w:val="E962DE5A"/>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1" w15:restartNumberingAfterBreak="0">
    <w:nsid w:val="136674D3"/>
    <w:multiLevelType w:val="multilevel"/>
    <w:tmpl w:val="0EF08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15BBC"/>
    <w:multiLevelType w:val="multilevel"/>
    <w:tmpl w:val="F7145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F"/>
    <w:rsid w:val="003D109F"/>
    <w:rsid w:val="003F5260"/>
    <w:rsid w:val="00A830B4"/>
    <w:rsid w:val="00E5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8C429-1E16-4853-8F8A-AECE5DA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52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BC7"/>
    <w:rPr>
      <w:color w:val="0000FF"/>
      <w:u w:val="single"/>
    </w:rPr>
  </w:style>
  <w:style w:type="paragraph" w:styleId="EndnoteText">
    <w:name w:val="endnote text"/>
    <w:basedOn w:val="Normal"/>
    <w:link w:val="EndnoteTextChar"/>
    <w:uiPriority w:val="99"/>
    <w:semiHidden/>
    <w:unhideWhenUsed/>
    <w:rsid w:val="00452B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BC7"/>
    <w:rPr>
      <w:sz w:val="20"/>
      <w:szCs w:val="20"/>
    </w:rPr>
  </w:style>
  <w:style w:type="character" w:styleId="EndnoteReference">
    <w:name w:val="endnote reference"/>
    <w:basedOn w:val="DefaultParagraphFont"/>
    <w:uiPriority w:val="99"/>
    <w:semiHidden/>
    <w:unhideWhenUsed/>
    <w:rsid w:val="00452BC7"/>
    <w:rPr>
      <w:vertAlign w:val="superscript"/>
    </w:rPr>
  </w:style>
  <w:style w:type="paragraph" w:styleId="FootnoteText">
    <w:name w:val="footnote text"/>
    <w:basedOn w:val="Normal"/>
    <w:link w:val="FootnoteTextChar"/>
    <w:uiPriority w:val="99"/>
    <w:semiHidden/>
    <w:unhideWhenUsed/>
    <w:rsid w:val="00452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BC7"/>
    <w:rPr>
      <w:sz w:val="20"/>
      <w:szCs w:val="20"/>
    </w:rPr>
  </w:style>
  <w:style w:type="character" w:styleId="FootnoteReference">
    <w:name w:val="footnote reference"/>
    <w:basedOn w:val="DefaultParagraphFont"/>
    <w:uiPriority w:val="99"/>
    <w:semiHidden/>
    <w:unhideWhenUsed/>
    <w:rsid w:val="00452BC7"/>
    <w:rPr>
      <w:vertAlign w:val="superscript"/>
    </w:rPr>
  </w:style>
  <w:style w:type="paragraph" w:styleId="Header">
    <w:name w:val="header"/>
    <w:basedOn w:val="Normal"/>
    <w:link w:val="HeaderChar"/>
    <w:uiPriority w:val="99"/>
    <w:unhideWhenUsed/>
    <w:rsid w:val="0067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19"/>
  </w:style>
  <w:style w:type="paragraph" w:styleId="Footer">
    <w:name w:val="footer"/>
    <w:basedOn w:val="Normal"/>
    <w:link w:val="FooterChar"/>
    <w:uiPriority w:val="99"/>
    <w:unhideWhenUsed/>
    <w:rsid w:val="0067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19"/>
  </w:style>
  <w:style w:type="table" w:styleId="TableGrid">
    <w:name w:val="Table Grid"/>
    <w:basedOn w:val="TableNormal"/>
    <w:uiPriority w:val="39"/>
    <w:rsid w:val="003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DE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khF2FrnymUNjMB5y7omUpHyA==">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Fay</dc:creator>
  <cp:lastModifiedBy>Richard Fay</cp:lastModifiedBy>
  <cp:revision>2</cp:revision>
  <dcterms:created xsi:type="dcterms:W3CDTF">2020-11-10T11:41:00Z</dcterms:created>
  <dcterms:modified xsi:type="dcterms:W3CDTF">2020-11-10T11:41:00Z</dcterms:modified>
</cp:coreProperties>
</file>